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BVI牌照申请与收购</w:t>
        <w:br/>
        <w:t>客户演示脚本</w:t>
      </w:r>
    </w:p>
    <w:p>
      <w:r/>
      <w:r>
        <w:rPr>
          <w:b/>
        </w:rPr>
        <w:t>仁港永胜（香港）有限公司 拟定；唐上永（唐生） 业务经理 提供专业讲解</w:t>
      </w:r>
      <w:r/>
    </w:p>
    <w:p>
      <w:r>
        <w:t xml:space="preserve">&gt; </w:t>
      </w:r>
      <w:r>
        <w:rPr>
          <w:b/>
        </w:rPr>
        <w:t>适用场景：</w:t>
      </w:r>
      <w:r>
        <w:t xml:space="preserve"> 向拟开展BVI相关金融服务、评估持牌主体收购或设立BVI商业公司的客户，介绍路径选择、材料准备与持续合规边界。</w:t>
      </w:r>
    </w:p>
    <w:p>
      <w:r>
        <w:t xml:space="preserve">&gt; </w:t>
      </w:r>
      <w:r>
        <w:rPr>
          <w:b/>
        </w:rPr>
        <w:t>版本口径：</w:t>
      </w:r>
      <w:r>
        <w:t xml:space="preserve"> 本稿沿用项目已核验资料的口径（2026年11月2日）。实际递交、付款、交易签约或经营前，仍须由适用的注册代理、授权代表、法律、税务、会计及其他专业服务方按届时规则与项目事实复核。</w:t>
      </w:r>
    </w:p>
    <w:p>
      <w:r>
        <w:t xml:space="preserve">&gt; </w:t>
      </w:r>
      <w:r>
        <w:rPr>
          <w:b/>
        </w:rPr>
        <w:t>重要边界：</w:t>
      </w:r>
      <w:r>
        <w:t xml:space="preserve"> 本稿是客户演示材料，不构成法律、税务、审计、投资、银行开户或监管批准意见；不承诺固定周期、费用、获批概率、成功案例、账户或合同承接、税务结果或监管结果。</w:t>
      </w:r>
    </w:p>
    <w:p>
      <w:pPr>
        <w:spacing w:after="20" w:before="20"/>
      </w:pPr>
    </w:p>
    <w:p>
      <w:pPr>
        <w:pStyle w:val="Heading2"/>
      </w:pPr>
      <w:r>
        <w:t>使用方式与节奏</w:t>
      </w:r>
    </w:p>
    <w:p>
      <w:pPr>
        <w:pStyle w:val="ListBullet"/>
      </w:pPr>
      <w:r/>
      <w:r>
        <w:rPr>
          <w:b/>
        </w:rPr>
        <w:t>页面对应：</w:t>
      </w:r>
      <w:r>
        <w:t xml:space="preserve"> 以下第01至12页逐页对应现有12页路演的标题与顺序，不增删页面。</w:t>
      </w:r>
    </w:p>
    <w:p>
      <w:pPr>
        <w:pStyle w:val="ListBullet"/>
      </w:pPr>
      <w:r/>
      <w:r>
        <w:rPr>
          <w:b/>
        </w:rPr>
        <w:t>唐生讲稿：</w:t>
      </w:r>
      <w:r>
        <w:t xml:space="preserve"> 每页“完整唐生讲稿”可直接朗读；方括号内为现场提示，可按客户理解程度停顿或删减。</w:t>
      </w:r>
    </w:p>
    <w:p>
      <w:pPr>
        <w:pStyle w:val="ListBullet"/>
      </w:pPr>
      <w:r/>
      <w:r>
        <w:rPr>
          <w:b/>
        </w:rPr>
        <w:t>屏幕指引：</w:t>
      </w:r>
      <w:r>
        <w:t xml:space="preserve"> 只提示讲解时应指向的既有图表区域，不要求改动任何页面。</w:t>
      </w:r>
    </w:p>
    <w:p>
      <w:pPr>
        <w:pStyle w:val="ListBullet"/>
      </w:pPr>
      <w:r/>
      <w:r>
        <w:rPr>
          <w:b/>
        </w:rPr>
        <w:t>互动原则：</w:t>
      </w:r>
      <w:r>
        <w:t xml:space="preserve"> 客户尚未确认的事实，统一记为“待核验”，不在现场推断为已满足条件。</w:t>
      </w:r>
    </w:p>
    <w:p>
      <w:pPr>
        <w:pStyle w:val="ListBullet"/>
      </w:pPr>
      <w:r/>
      <w:r>
        <w:rPr>
          <w:b/>
        </w:rPr>
        <w:t>时长口径：</w:t>
      </w:r>
      <w:r>
        <w:t xml:space="preserve"> 主讲字数及按每分钟180—240字的区间估算见文末“主讲字数与试读说明”。互动、客户追问、资料核验、可选问答和虚构情景不计入主讲时长；正式使用前请由唐生按实际停顿、语速和中英文术语读法试读校时。</w:t>
      </w:r>
    </w:p>
    <w:p>
      <w:pPr>
        <w:spacing w:after="20" w:before="20"/>
      </w:pPr>
    </w:p>
    <w:p>
      <w:pPr>
        <w:pStyle w:val="Heading2"/>
        <w:pageBreakBefore/>
      </w:pPr>
      <w:r>
        <w:t>第01页｜BVI金融牌照申请与公司注册商务路演</w:t>
      </w:r>
    </w:p>
    <w:p>
      <w:r/>
      <w:r>
        <w:rPr>
          <w:b/>
        </w:rPr>
        <w:t>本页目的：</w:t>
      </w:r>
      <w:r>
        <w:t xml:space="preserve"> 建立本次会谈的边界：先看真实业务，再在新申请、持牌主体收购与普通公司注册三条工作流中作判断。</w:t>
      </w:r>
    </w:p>
    <w:p>
      <w:pPr>
        <w:pStyle w:val="Heading3"/>
      </w:pPr>
      <w:r>
        <w:t>完整唐生讲稿</w:t>
      </w:r>
    </w:p>
    <w:p>
      <w:r>
        <w:t>各位客户，大家好。我是唐上永，感谢各位今天拨冗参加。今天我们不从“想要哪一张牌照”开始，也不会把成立公司、取得金融服务资格和收购持牌主体当成同一件事。我们先把贵方准备实际做的业务讲清楚：服务谁、向哪些地区提供服务、谁作决定、是否接触或控制客户资金、资产或虚拟资产，以及谁最终控制主体和日常职能。[停顿]</w:t>
      </w:r>
    </w:p>
    <w:p>
      <w:r>
        <w:t>今天有三条工作流。第一条，是围绕贵方拟开展的业务，设立或使用合适主体并申请相应许可、批准或注册。第二条，是在充分尽调和适用监管程序下，评估收购一家已持牌公司的股份或控制权。第三条，是成立或维护BVI商业公司，用于持股、项目SPV、合资或交易架构。三条路都可能有商业价值，但风险、证据和持续义务不同，不能因为名称相近就相互替代。</w:t>
      </w:r>
    </w:p>
    <w:p>
      <w:r>
        <w:t>本次沟通的结果，不是现场给出批准承诺，而是帮助贵方确认下一步应先完成业务定性、主体准备，还是目标公司的基础核验。对于今天暂时不能确认的环节，我们会明确列为待核验事项；这比在早期给出一个看似肯定、实际无法执行的答案更有价值。</w:t>
      </w:r>
    </w:p>
    <w:p>
      <w:r/>
      <w:r>
        <w:rPr>
          <w:b/>
        </w:rPr>
        <w:t>屏幕指引：</w:t>
      </w:r>
      <w:r>
        <w:t xml:space="preserve"> 先停留在标题和“新申请／持牌公司收购／持续合规”三项，手势由左至右；读到“真实业务”时回到页面中央。</w:t>
      </w:r>
    </w:p>
    <w:p>
      <w:r/>
      <w:r>
        <w:rPr>
          <w:b/>
        </w:rPr>
        <w:t>客户互动：</w:t>
      </w:r>
      <w:r>
        <w:t xml:space="preserve"> “贵方本次最优先的目标，是开展受监管业务、收购既有业务基础，还是先建立持股或项目主体？”</w:t>
      </w:r>
    </w:p>
    <w:p>
      <w:r/>
      <w:r>
        <w:rPr>
          <w:b/>
        </w:rPr>
        <w:t>转场：</w:t>
      </w:r>
      <w:r>
        <w:t xml:space="preserve"> “先把三条路径的边界拆开，下一页说明每一条究竟解决什么问题。”</w:t>
      </w:r>
    </w:p>
    <w:p>
      <w:pPr>
        <w:spacing w:after="20" w:before="20"/>
      </w:pPr>
    </w:p>
    <w:p>
      <w:pPr>
        <w:pStyle w:val="Heading2"/>
        <w:pageBreakBefore/>
      </w:pPr>
      <w:r>
        <w:t>第02页｜定位与三条路径：申请、收购、公司注册不等于许可</w:t>
      </w:r>
    </w:p>
    <w:p>
      <w:r/>
      <w:r>
        <w:rPr>
          <w:b/>
        </w:rPr>
        <w:t>本页目的：</w:t>
      </w:r>
      <w:r>
        <w:t xml:space="preserve"> 区分法律主体、具体受监管活动资格及股权／控制权交易，纠正“注册即获牌”与“买牌即转让”的误解。</w:t>
      </w:r>
    </w:p>
    <w:p>
      <w:pPr>
        <w:pStyle w:val="Heading3"/>
      </w:pPr>
      <w:r>
        <w:t>完整唐生讲稿</w:t>
      </w:r>
    </w:p>
    <w:p>
      <w:r>
        <w:t>这一页请各位先记住两句话：成立BVI公司，不等于获得金融业务资格；收购持牌公司，也不等于把一张牌照从原公司单独转到买方名下。左边的公司注册，首先解决的是法律主体问题。它可以支持控股、项目SPV、合资或集团投资安排，但主体仍须维持注册代理、注册办事处、法定名册、受益所有人资料及年度维护。</w:t>
      </w:r>
    </w:p>
    <w:p>
      <w:r>
        <w:t>中间的新申请，解决的是一项具体受监管活动能否在适用范围内开展的问题。判断不能只看“金融科技”“顾问”“基金”或“离岸”等营销名称，而要看真实功能：谁作投资或交易决定、谁介绍或安排交易、谁保管资产、谁转移资金或虚拟资产、客户在哪里、收入从何而来。一个获准范围不当然覆盖其他业务，更不等于取得任何其他市场的展业资格。</w:t>
      </w:r>
    </w:p>
    <w:p>
      <w:r>
        <w:t>右边的收购，通常是购买持牌公司的股份或取得其控制权。许可仍在原持牌主体名下。因此收购的第一项工作不是谈“牌照价格”，而是核验许可原件、获准范围、附加条件、当前状态和历史记录，是否真正与买方计划匹配。其后还要处理历史责任、控制权程序、合同和运营接续。三条路径不是快慢的简单比较，而是三套不同的证据链。</w:t>
      </w:r>
    </w:p>
    <w:p>
      <w:r/>
      <w:r>
        <w:rPr>
          <w:b/>
        </w:rPr>
        <w:t>屏幕指引：</w:t>
      </w:r>
      <w:r>
        <w:t xml:space="preserve"> 按左、中、右三张卡片依序讲解；“两句话”时停在页底提示语。</w:t>
      </w:r>
    </w:p>
    <w:p>
      <w:r/>
      <w:r>
        <w:rPr>
          <w:b/>
        </w:rPr>
        <w:t>客户互动：</w:t>
      </w:r>
      <w:r>
        <w:t xml:space="preserve"> “贵方是否会代客户作决定、安排交易，或接触、控制客户的资金和资产？”</w:t>
      </w:r>
    </w:p>
    <w:p>
      <w:r/>
      <w:r>
        <w:rPr>
          <w:b/>
        </w:rPr>
        <w:t>转场：</w:t>
      </w:r>
      <w:r>
        <w:t xml:space="preserve"> “业务实质决定路径。下一页先用一张业务地图说明为什么不能只凭名称归类。”</w:t>
      </w:r>
    </w:p>
    <w:p>
      <w:pPr>
        <w:spacing w:after="20" w:before="20"/>
      </w:pPr>
    </w:p>
    <w:p>
      <w:pPr>
        <w:pStyle w:val="Heading2"/>
        <w:pageBreakBefore/>
      </w:pPr>
      <w:r>
        <w:t>第03页｜八类监管业务地图</w:t>
      </w:r>
    </w:p>
    <w:p>
      <w:r/>
      <w:r>
        <w:rPr>
          <w:b/>
        </w:rPr>
        <w:t>本页目的：</w:t>
      </w:r>
      <w:r>
        <w:t xml:space="preserve"> 用实际职能建立初步监管识别框架，并提示混合业务可能需要并行评估。</w:t>
      </w:r>
    </w:p>
    <w:p>
      <w:pPr>
        <w:pStyle w:val="Heading3"/>
      </w:pPr>
      <w:r>
        <w:t>完整唐生讲稿</w:t>
      </w:r>
    </w:p>
    <w:p>
      <w:r>
        <w:t>这一页不是请客户自行选择一个标签，而是提供一张初步识别地图。左侧的Approved Manager，也就是AM，是一条面向法定合资格基金及结构、提供投资管理或投资顾问服务的限定路径。SIBA所涉投资业务需要按实际交易、安排、管理、建议、托管、行政或交易所等职能逐项判断。VASP则关注为他人提供虚拟资产交换、转移、托管或相关服务；是否控制客户资产、如何转移以及技术和运营安排，都会影响判断。</w:t>
      </w:r>
    </w:p>
    <w:p>
      <w:r>
        <w:t>基金本身的认可或注册，处理的是基金产品和募集结构，不自动替代管理人的资格。右侧的银行、TCSP、保险和融资及货币服务也不能混用。以银行为例，核心特征涉及接受可偿还存款和运用风险；TCSP涉及第三方信托、公司管理等服务；保险人、保险管理人、保险经纪或代理的分析不同；汇款、兑换、融资、融资租赁和ATM等业务，也需要按相应法定类别判断。</w:t>
      </w:r>
    </w:p>
    <w:p>
      <w:r>
        <w:t>所以，项目开始时我们会把业务拆成可核验的问题：客户是谁、服务是什么、谁作关键决定、资金或资产如何流转、主要在哪些司法管辖区发生、收费依据是什么、哪些职能外包。若同一模式同时包含基金管理、虚拟资产和资金流环节，就可能需要并行评估多项制度。任何单一路径都不应被宣传为全球通行证。</w:t>
      </w:r>
    </w:p>
    <w:p>
      <w:r/>
      <w:r>
        <w:rPr>
          <w:b/>
        </w:rPr>
        <w:t>屏幕指引：</w:t>
      </w:r>
      <w:r>
        <w:t xml:space="preserve"> 先讲左列AM、SIBA、VASP、基金，再讲右列银行、TCSP、保险、FMS；最后停在“混合业务”提示。</w:t>
      </w:r>
    </w:p>
    <w:p>
      <w:r/>
      <w:r>
        <w:rPr>
          <w:b/>
        </w:rPr>
        <w:t>客户互动：</w:t>
      </w:r>
      <w:r>
        <w:t xml:space="preserve"> “贵方预计的主要收入，来自管理费、顾问费、交易服务费，还是与资金和资产流转相关的费用？”</w:t>
      </w:r>
    </w:p>
    <w:p>
      <w:r/>
      <w:r>
        <w:rPr>
          <w:b/>
        </w:rPr>
        <w:t>转场：</w:t>
      </w:r>
      <w:r>
        <w:t xml:space="preserve"> “最常被放在一起讨论的是AM、SIBA、VASP和基金。下一页把它们分开。”</w:t>
      </w:r>
    </w:p>
    <w:p>
      <w:pPr>
        <w:spacing w:after="20" w:before="20"/>
      </w:pPr>
    </w:p>
    <w:p>
      <w:pPr>
        <w:pStyle w:val="Heading2"/>
        <w:pageBreakBefore/>
      </w:pPr>
      <w:r>
        <w:t>第04页｜关键路径比较：AM、SIBA、VASP、基金及其他业务差异</w:t>
      </w:r>
    </w:p>
    <w:p>
      <w:r/>
      <w:r>
        <w:rPr>
          <w:b/>
        </w:rPr>
        <w:t>本页目的：</w:t>
      </w:r>
      <w:r>
        <w:t xml:space="preserve"> 说明AM、SIBA、VASP、基金资格及普通公司登记不在同一层级，防止资本、基金条件和公司费用错套。</w:t>
      </w:r>
    </w:p>
    <w:p>
      <w:pPr>
        <w:pStyle w:val="Heading3"/>
      </w:pPr>
      <w:r>
        <w:t>完整唐生讲稿</w:t>
      </w:r>
    </w:p>
    <w:p>
      <w:r>
        <w:t>客户讨论时最常见的误解，是把AM、完整SIBA路径、VASP、基金产品地位和普通公司登记当成同一种“牌照”。实际上，它们回答的问题不同。AM适用于限定的投资管理或投资顾问活动，服务对象、业务范围和管理规模都要符合专门规则；它不等同于完整SIBA牌照。SIBA则须回到具体投资业务类别和实际职能判断，不能因为公司名称中有“advisor”或“fund”就直接套用。</w:t>
      </w:r>
    </w:p>
    <w:p>
      <w:r>
        <w:t>VASP关注的是代客虚拟资产相关服务。客户资产是否由主体控制、是否提供转移或托管、系统如何运行和风险如何管理，都会影响结论。基金部分则要看产品和募集结构，例如投资者特征、发售限制、人数或认购门槛；基金的条件不等于管理人的实缴资本。银行、TCSP、保险和货币服务也各自有不同的许可、人员、审慎和持续义务，不能借用AM的要求来回答。</w:t>
      </w:r>
    </w:p>
    <w:p>
      <w:r>
        <w:t>这里尤其要把三组概念分开：第一，管理人自身为持续经营而应具备的人员和财务资源；第二，基金或客户结构的资格条件；第三，公司层面的股份、政府收费和市场化服务费。后续如判断某项业务不在AM范围，就应回到更合适的制度重新评估，而不是以一项限定资格覆盖所有计划活动。</w:t>
      </w:r>
    </w:p>
    <w:p>
      <w:r/>
      <w:r>
        <w:rPr>
          <w:b/>
        </w:rPr>
        <w:t>屏幕指引：</w:t>
      </w:r>
      <w:r>
        <w:t xml:space="preserve"> 逐行指向“最易混淆的边界”；强调AM、SIBA、VASP和基金四行的不同对象。</w:t>
      </w:r>
    </w:p>
    <w:p>
      <w:r/>
      <w:r>
        <w:rPr>
          <w:b/>
        </w:rPr>
        <w:t>客户互动：</w:t>
      </w:r>
      <w:r>
        <w:t xml:space="preserve"> “贵方拟服务的对象，是否已有明确的基金法律形式、募集限制及管理或顾问合同？”</w:t>
      </w:r>
    </w:p>
    <w:p>
      <w:r/>
      <w:r>
        <w:rPr>
          <w:b/>
        </w:rPr>
        <w:t>转场：</w:t>
      </w:r>
      <w:r>
        <w:t xml:space="preserve"> “若客户初步考虑AM，下一页先看其主体、人员和可服务对象的基础条件。”</w:t>
      </w:r>
    </w:p>
    <w:p>
      <w:pPr>
        <w:spacing w:after="20" w:before="20"/>
      </w:pPr>
    </w:p>
    <w:p>
      <w:pPr>
        <w:pStyle w:val="Heading2"/>
        <w:pageBreakBefore/>
      </w:pPr>
      <w:r>
        <w:t>第05页｜Approved Manager 主体、董事、授权代表与客户范围</w:t>
      </w:r>
    </w:p>
    <w:p>
      <w:r/>
      <w:r>
        <w:rPr>
          <w:b/>
        </w:rPr>
        <w:t>本页目的：</w:t>
      </w:r>
      <w:r>
        <w:t xml:space="preserve"> 说明AM的合格主体、治理、授权代表、控制链和客户资格核验重点。</w:t>
      </w:r>
    </w:p>
    <w:p>
      <w:pPr>
        <w:pStyle w:val="Heading3"/>
      </w:pPr>
      <w:r>
        <w:t>完整唐生讲稿</w:t>
      </w:r>
    </w:p>
    <w:p>
      <w:r>
        <w:t>这一页的关键词是“限定业务、限定客户、限定规模”。AM不是普通BVI公司登记后自动获得的身份。申请主体只能是BVI Business Company，或已按Partnership Act登记的有限合伙。公司型主体须持续有至少两名董事，其中至少一名是自然人；有限合伙型主体则须持续有至少一名普通合伙人。两类主体均须持续委任一名经FSC认证的authorised representative，也就是授权代表。注册代理、董事或一般联系人不当然等同于授权代表。</w:t>
      </w:r>
    </w:p>
    <w:p>
      <w:r>
        <w:t>在人员与控制方面，需要如实说明董事、普通合伙人、高级人员、持有重大权益的人士和最终控制链，并以一致的身份、履历、职责和资金来源资料支持适格性说明。还要说明谁实际执行日常投资业务职能；如有外包，外包的具体职能、受托方、协议、监督方式和资料取得安排，都不能只用一句“已外包”带过。</w:t>
      </w:r>
    </w:p>
    <w:p>
      <w:r>
        <w:t>客户范围也不能只凭“专业客户”或基金名称判断。我们建议对每一只拟服务基金或结构建立资格表，核对其注册地、法律形式、投资者限制、发售方式、管理或顾问关系和AUM口径。资格表、控制链和职责矩阵三项资料完成后，才适合判断是否进入申请文件准备阶段。</w:t>
      </w:r>
    </w:p>
    <w:p>
      <w:r/>
      <w:r>
        <w:rPr>
          <w:b/>
        </w:rPr>
        <w:t>屏幕指引：</w:t>
      </w:r>
      <w:r>
        <w:t xml:space="preserve"> 先强调页面上的三项“限定”，再由主体、人员、客户范围依序说明；读到授权代表时停顿。</w:t>
      </w:r>
    </w:p>
    <w:p>
      <w:r/>
      <w:r>
        <w:rPr>
          <w:b/>
        </w:rPr>
        <w:t>客户互动：</w:t>
      </w:r>
      <w:r>
        <w:t xml:space="preserve"> “贵方倾向采用公司还是有限合伙？谁会实际承担日常投资职能？”</w:t>
      </w:r>
    </w:p>
    <w:p>
      <w:r/>
      <w:r>
        <w:rPr>
          <w:b/>
        </w:rPr>
        <w:t>转场：</w:t>
      </w:r>
      <w:r>
        <w:t xml:space="preserve"> “条件明确后，客户通常会问规模、资源和费用。下一页把几个容易混淆的数值拆开。”</w:t>
      </w:r>
    </w:p>
    <w:p>
      <w:pPr>
        <w:spacing w:after="20" w:before="20"/>
      </w:pPr>
    </w:p>
    <w:p>
      <w:pPr>
        <w:pStyle w:val="Heading2"/>
        <w:pageBreakBefore/>
      </w:pPr>
      <w:r>
        <w:t>第06页｜AM AUM、资源口径、政府费用与有限待决机制</w:t>
      </w:r>
    </w:p>
    <w:p>
      <w:r/>
      <w:r>
        <w:rPr>
          <w:b/>
        </w:rPr>
        <w:t>本页目的：</w:t>
      </w:r>
      <w:r>
        <w:t xml:space="preserve"> 清楚区分AM资源安排、AUM限制、基金投资者门槛与政府费用，并说明有限待决机制不是批准或固定时长保证。</w:t>
      </w:r>
    </w:p>
    <w:p>
      <w:pPr>
        <w:pStyle w:val="Heading3"/>
      </w:pPr>
      <w:r>
        <w:t>完整唐生讲稿</w:t>
      </w:r>
    </w:p>
    <w:p>
      <w:r>
        <w:t>这一页请特别注意：资本、规模和费用必须分开说。根据本次已核验的AM规例、指引和申请资料，没有发现一项适用于所有AM申请人的公开统一最低实缴资本或最低净资产金额。因此，不能把这一点表述为“零资本”。申请人仍应能说明与实际业务相称的人员、外包、财务报表准备、治理和持续资源安排，相关机关也会审视适格性和预计合规情况。</w:t>
      </w:r>
    </w:p>
    <w:p>
      <w:r>
        <w:t>页面中间的US$400m，是私募基金或专业基金的合计管理资产上限；US$1bn，是一个或多个合资格封闭式基金的合计承诺资本上限，两者分别计算。另一个US$100,000，是具专业基金特征的结构中每名非豁免投资者的初始投资门槛。它不是管理人的资本、申请费或AUM下限。把这三个数字混为“最低资本”，会使后续预算和材料准备建立在错误前提上。</w:t>
      </w:r>
    </w:p>
    <w:p>
      <w:r>
        <w:t>可明确列示的AM政府费用有不同触发点：每份申请US$1,200，获批时US$1,800，每一续期年度US$1,800。申请费加批准费的US$3,000只是两项政府入场费用，不是首十二个月总成本。若管理人已持续获准，且主体属于适用低档的普通BVI股份有限公司，年度政府费用可作条件性示例：AM续期US$1,800加公司年费US$550，合计US$2,350。该例不含注册代理、授权代表、董事、法律、会计、AML/CFT、KYC、翻译、税务或其他服务，也不适用于有限合伙。</w:t>
      </w:r>
    </w:p>
    <w:p>
      <w:r>
        <w:t>完整申请通常应在拟开展相关业务日前至少七日递交。适用规则下可能存在有限的待决经营机制，但其前提和范围受限；它不等于最终批准、不等于可以无条件营业，也不能被概括为固定审批周期。付款和实施前，仍应按当日费表及具体主体复核。</w:t>
      </w:r>
    </w:p>
    <w:p>
      <w:r/>
      <w:r>
        <w:rPr>
          <w:b/>
        </w:rPr>
        <w:t>屏幕指引：</w:t>
      </w:r>
      <w:r>
        <w:t xml:space="preserve"> 先讲上方三个数值，再讲左下三项政府收费；读到US$2,350时同时强调“条件性政府基数、非全包”。</w:t>
      </w:r>
    </w:p>
    <w:p>
      <w:r/>
      <w:r>
        <w:rPr>
          <w:b/>
        </w:rPr>
        <w:t>客户互动：</w:t>
      </w:r>
      <w:r>
        <w:t xml:space="preserve"> “拟服务对象中，私募／专业基金和封闭式基金各有哪些？预计AUM准备按什么口径记录？”</w:t>
      </w:r>
    </w:p>
    <w:p>
      <w:r/>
      <w:r>
        <w:rPr>
          <w:b/>
        </w:rPr>
        <w:t>转场：</w:t>
      </w:r>
      <w:r>
        <w:t xml:space="preserve"> “如果客户当前只是先搭建持股或项目主体，就应回到普通BVI公司的法定基础。”</w:t>
      </w:r>
    </w:p>
    <w:p>
      <w:pPr>
        <w:spacing w:after="20" w:before="20"/>
      </w:pPr>
    </w:p>
    <w:p>
      <w:pPr>
        <w:pStyle w:val="Heading2"/>
        <w:pageBreakBefore/>
      </w:pPr>
      <w:r>
        <w:t>第07页｜BVI 公司注册条件、注册代理、UBO 与边界</w:t>
      </w:r>
    </w:p>
    <w:p>
      <w:r/>
      <w:r>
        <w:rPr>
          <w:b/>
        </w:rPr>
        <w:t>本页目的：</w:t>
      </w:r>
      <w:r>
        <w:t xml:space="preserve"> 说明普通BVI商业公司的用途、成立与维护要素、政府费用和不等同于金融许可的边界。</w:t>
      </w:r>
    </w:p>
    <w:p>
      <w:pPr>
        <w:pStyle w:val="Heading3"/>
      </w:pPr>
      <w:r>
        <w:t>完整唐生讲稿</w:t>
      </w:r>
    </w:p>
    <w:p>
      <w:r>
        <w:t>普通BVI商业公司经常用于跨境持股、项目SPV、合资或集团投资安排。它可以是有效的法律主体，但不是任何金融服务资格的替代品。每家公司须持续维持BVI持牌注册代理人和注册办事处；设立前应确定商业用途、股权和控制链、董事与签署权限、股份权利及拟用名称，并完成注册代理要求的客户尽调，也就是KYC核验。</w:t>
      </w:r>
    </w:p>
    <w:p>
      <w:r>
        <w:t>政府收费与服务收费也必须分开。对于适用的普通股份有限公司，获授权发行不超过50,000股时，设立和年度政府费可各按US$550说明；超过50,000股时，两个项目可各按US$1,350说明。这是适用法定类别下的政府层面例子，不包括注册代理、注册地址、KYC、文件认证、快递、法律或其他专业服务。股份数应服务于真实融资和权利安排，不应只为进入某个收费档而设计出与交易不一致的结构。</w:t>
      </w:r>
    </w:p>
    <w:p>
      <w:r>
        <w:t>成立后，公司仍应维护董事名册、成员名册和受益所有人资料。不能把BVI公司宣传为“完全无需备案”或“绝对保密”。普通公司的Annual Return通常在财政年度结束后九个月内交注册代理人；它是规定格式的年度财务申报，不等同于向公众公开经审计年报，也不同于受监管主体向FSC提交的监管回报。若实际开展投资、虚拟资产、银行、货币服务、保险或其他受监管活动，仍须另行判断牌照和持续义务。</w:t>
      </w:r>
    </w:p>
    <w:p>
      <w:r/>
      <w:r>
        <w:rPr>
          <w:b/>
        </w:rPr>
        <w:t>屏幕指引：</w:t>
      </w:r>
      <w:r>
        <w:t xml:space="preserve"> 左边讲用途和法定基础；右边按“成立前—成立后—每年”阅读，最后强调Annual Return的对象与性质。</w:t>
      </w:r>
    </w:p>
    <w:p>
      <w:r/>
      <w:r>
        <w:rPr>
          <w:b/>
        </w:rPr>
        <w:t>客户互动：</w:t>
      </w:r>
      <w:r>
        <w:t xml:space="preserve"> “贵方设立公司的首要用途是持股、项目交易，还是计划对外开展受监管服务？”</w:t>
      </w:r>
    </w:p>
    <w:p>
      <w:r/>
      <w:r>
        <w:rPr>
          <w:b/>
        </w:rPr>
        <w:t>转场：</w:t>
      </w:r>
      <w:r>
        <w:t xml:space="preserve"> “有了主体基础后，客户会比较新申请和收购。第8页用六个维度作条件式判断。”</w:t>
      </w:r>
    </w:p>
    <w:p>
      <w:pPr>
        <w:spacing w:after="20" w:before="20"/>
      </w:pPr>
    </w:p>
    <w:p>
      <w:pPr>
        <w:pStyle w:val="Heading2"/>
        <w:pageBreakBefore/>
      </w:pPr>
      <w:r>
        <w:t>第08页｜申请与收购的六维核心比较</w:t>
      </w:r>
    </w:p>
    <w:p>
      <w:r/>
      <w:r>
        <w:rPr>
          <w:b/>
        </w:rPr>
        <w:t>本页目的：</w:t>
      </w:r>
      <w:r>
        <w:t xml:space="preserve"> 以许可、历史、文件、监管程序、合同账户和成本结构比较两条路径；强调每一维都对应一个推进条件或停止点。</w:t>
      </w:r>
    </w:p>
    <w:p>
      <w:pPr>
        <w:pStyle w:val="Heading3"/>
      </w:pPr>
      <w:r>
        <w:t>完整唐生讲稿</w:t>
      </w:r>
    </w:p>
    <w:p>
      <w:r>
        <w:t>这一页不是要得出“新申请一定更好”或“收购一定更快”的结论。两条路径的价值，取决于能否用可靠资料证明其前提。新申请的起点，是围绕贵方拟开展的业务建立一个可审查的新基础：控制链、人员、业务计划、资源、制度和运营安排都须与申请范围一致。它不承接被收购目标的既往监管、客户、合同或税务历史，但自身仍须建立完整的合规和运营证据。</w:t>
      </w:r>
    </w:p>
    <w:p>
      <w:r>
        <w:t>收购则是取得原持牌主体的股份或控制权。第一道关口不是讨论价格，而是验证目标许可是否仍有效、许可范围和附加条件是否真正覆盖买方计划、当前监管状态是否可核验。若业务范围不匹配，或拟新增的产品、客户、控制安排需要另行处理，收购本身不能替代相关程序。此时应暂停把该目标当作解决方案，而不是先签约再补解释。</w:t>
      </w:r>
    </w:p>
    <w:p>
      <w:r>
        <w:t>第二道关口是历史责任。监管沟通、检查整改、年费和申报、客户投诉、税务、诉讼、AML/CFT记录、未披露负债、人员、系统和数据，都可能在交易后继续影响原主体。换股东不会自动清除这些事项。若关键资料无法取得、重大事项未披露或无法形成可执行的整改、赔偿、价款调整或退出安排，就应停止推进或重新谈判。</w:t>
      </w:r>
    </w:p>
    <w:p>
      <w:r>
        <w:t>第三道关口是账户、合同和成本。银行账户、支付通道、客户关系、关键供应商和数据系统都不是许可证书自动附带、可保证承接的资产；必须审阅变更控制、重新KYC、转让、终止和数据权限条款，并准备替代或迁移方案。新申请预算须分开列示政府与监管费用、公司和专业服务、人员、系统及持续资源；收购预算还要分开列示股权对价、尽调、交易文件、控制权程序、整改、迁移和历史责任缓冲。股权对价不是监管资本，也不等于可自由使用的营运资源。</w:t>
      </w:r>
    </w:p>
    <w:p>
      <w:r/>
      <w:r>
        <w:rPr>
          <w:b/>
        </w:rPr>
        <w:t>屏幕指引：</w:t>
      </w:r>
      <w:r>
        <w:t xml:space="preserve"> 逐行横向比较两列；在“许可范围”“历史责任”“账户与合同”“成本结构”四行分别停顿，并将“推进条件／停止点”作为口头提示。</w:t>
      </w:r>
    </w:p>
    <w:p>
      <w:r/>
      <w:r>
        <w:rPr>
          <w:b/>
        </w:rPr>
        <w:t>客户互动：</w:t>
      </w:r>
      <w:r>
        <w:t xml:space="preserve"> “若考虑收购，贵方能否先取得目标公司的许可原件、附加条件、年费申报状态、监管沟通和关键合同清单？”</w:t>
      </w:r>
    </w:p>
    <w:p>
      <w:r/>
      <w:r>
        <w:rPr>
          <w:b/>
        </w:rPr>
        <w:t>转场：</w:t>
      </w:r>
      <w:r>
        <w:t xml:space="preserve"> “比较维度明确后，下一页把新申请与收购分别拆成六个阶段，并在每个阶段放入不能越过的关口。”</w:t>
      </w:r>
    </w:p>
    <w:p>
      <w:pPr>
        <w:spacing w:after="20" w:before="20"/>
      </w:pPr>
    </w:p>
    <w:p>
      <w:pPr>
        <w:pStyle w:val="Heading2"/>
        <w:pageBreakBefore/>
      </w:pPr>
      <w:r>
        <w:t>第09页｜新申请与收购的准备流程</w:t>
      </w:r>
    </w:p>
    <w:p>
      <w:r/>
      <w:r>
        <w:rPr>
          <w:b/>
        </w:rPr>
        <w:t>本页目的：</w:t>
      </w:r>
      <w:r>
        <w:t xml:space="preserve"> 展示两条六阶段流程，明确何时可以推进、何时应补件、调整方案或退出，而不是把流程理解为线性手续。</w:t>
      </w:r>
    </w:p>
    <w:p>
      <w:pPr>
        <w:pStyle w:val="Heading3"/>
      </w:pPr>
      <w:r>
        <w:t>完整唐生讲稿</w:t>
      </w:r>
    </w:p>
    <w:p>
      <w:r>
        <w:t>先看新申请的六个阶段。第一阶段是业务定性与路径选择：把客户、产品、地域、资金或资产控制、收费和外包逐项映射到可能适用的制度。</w:t>
      </w:r>
      <w:r>
        <w:rPr>
          <w:b/>
        </w:rPr>
        <w:t>停止点一</w:t>
      </w:r>
      <w:r>
        <w:t>是业务无法与监管路径一一对应；此时应先补充事实或调整业务设计，不能以营销名称替代法定范围。第二阶段是主体、控制人与关键人员准备。</w:t>
      </w:r>
      <w:r>
        <w:rPr>
          <w:b/>
        </w:rPr>
        <w:t>停止点二</w:t>
      </w:r>
      <w:r>
        <w:t>是控制链、职责、身份、履历或资金来源无法穿透、前后不一致；这时先补齐资料，而不是急于递交。</w:t>
      </w:r>
    </w:p>
    <w:p>
      <w:r>
        <w:t>第三阶段是业务计划、资源和制度成型，包括治理、风控、AML/CFT、外包、技术、数据和财务资源安排。</w:t>
      </w:r>
      <w:r>
        <w:rPr>
          <w:b/>
        </w:rPr>
        <w:t>停止点三</w:t>
      </w:r>
      <w:r>
        <w:t>是人员能力、资源或控制措施与业务风险不相称。第四阶段才是完整递交与问询管理，须以当日适用表格、费用和签署要求核对完整性；递交回执不是最终批准。第五阶段是监管决定和开业前条件，只有在适用的书面批准、注册或认可及开业条件满足后，才可按获准范围启动。第六阶段是启动与持续维护，负责人、截止日和留档位置应在开业前已经确定。</w:t>
      </w:r>
    </w:p>
    <w:p>
      <w:r>
        <w:t>再看收购的六个阶段。第一阶段是收购目的与目标初筛，验证目标许可与买方业务是否有真实、可证明的匹配，并确认交易对象是股份或控制权，而非独立转让的牌照。</w:t>
      </w:r>
      <w:r>
        <w:rPr>
          <w:b/>
        </w:rPr>
        <w:t>停止点一</w:t>
      </w:r>
      <w:r>
        <w:t>是许可范围、附加条件或当前状态无法验证。第二阶段是保密、资料室和基础核验；若许可原件、公司名册、监管资料、年费申报或出售方陈述不能相互印证，资料缺口必须记录，不能用口头解释替代。</w:t>
      </w:r>
    </w:p>
    <w:p>
      <w:r>
        <w:t>第三阶段才进入监管、法律、财税与运营尽调，覆盖历史责任、AML/CFT、客户与交易、人员、银行、外包、IP、数据和网络安全。</w:t>
      </w:r>
      <w:r>
        <w:rPr>
          <w:b/>
        </w:rPr>
        <w:t>停止点二</w:t>
      </w:r>
      <w:r>
        <w:t>是发现重大历史问题却没有披露、整改、赔偿、定价调整或退出方案。第四阶段设计交易结构和先决条件，包括股份购买、付款、托管、陈述保证、赔偿、资料交接和关键人员安排。第五阶段按目标制度完成适用的事前批准、同意或通知，并取得银行、客户、外包商、注册代理和其他关键相对方所需确认。</w:t>
      </w:r>
      <w:r>
        <w:rPr>
          <w:b/>
        </w:rPr>
        <w:t>停止点三</w:t>
      </w:r>
      <w:r>
        <w:t>是监管程序未满足，或关键合同、账户和系统没有承接或替代方案。第六阶段才是交割、登记更新和运营接续；交割不是合规工作的终点，而是新控制团队接管证据、权限、日历和持续责任的开始。</w:t>
      </w:r>
    </w:p>
    <w:p>
      <w:r/>
      <w:r>
        <w:rPr>
          <w:b/>
        </w:rPr>
        <w:t>屏幕指引：</w:t>
      </w:r>
      <w:r>
        <w:t xml:space="preserve"> 先横向讲上方六格，再横向讲下方六格；每次说“停止点”前停顿，并把手势放在当前流程格而非跳到下一格。</w:t>
      </w:r>
    </w:p>
    <w:p>
      <w:r/>
      <w:r>
        <w:rPr>
          <w:b/>
        </w:rPr>
        <w:t>客户互动：</w:t>
      </w:r>
      <w:r>
        <w:t xml:space="preserve"> “贵方当前最需要补足的是业务说明、控制链、关键人员、资源安排，还是目标公司的资料室与历史档案？”</w:t>
      </w:r>
    </w:p>
    <w:p>
      <w:r/>
      <w:r>
        <w:rPr>
          <w:b/>
        </w:rPr>
        <w:t>转场：</w:t>
      </w:r>
      <w:r>
        <w:t xml:space="preserve"> “流程需要由日历和材料控制来落地。下一页把AM、普通BC及收购后的不同持续事项分开。”</w:t>
      </w:r>
    </w:p>
    <w:p>
      <w:pPr>
        <w:spacing w:after="20" w:before="20"/>
      </w:pPr>
    </w:p>
    <w:p>
      <w:pPr>
        <w:pStyle w:val="Heading2"/>
        <w:pageBreakBefore/>
      </w:pPr>
      <w:r>
        <w:t>第10页｜材料与持续合规日历</w:t>
      </w:r>
    </w:p>
    <w:p>
      <w:r/>
      <w:r>
        <w:rPr>
          <w:b/>
        </w:rPr>
        <w:t>本页目的：</w:t>
      </w:r>
      <w:r>
        <w:t xml:space="preserve"> 将AM监管回报、财务报表、普通BC维护及收购接续分开管理；特别区分合规独立审查、财务报表审计和普通公司Annual Return。</w:t>
      </w:r>
    </w:p>
    <w:p>
      <w:pPr>
        <w:pStyle w:val="Heading3"/>
      </w:pPr>
      <w:r>
        <w:t>完整唐生讲稿</w:t>
      </w:r>
    </w:p>
    <w:p>
      <w:r>
        <w:t>持续维护不能简单概括为每年做一次“年审”。不同主体、不同文件和不同事件有不同对象、时点和证据要求。对于AM，年度监管回报通常在每年1月31日前向FSC提交，涉及上一年末的服务对象、AUM、投资者人数、重大投诉及持续资格等。年度续期费通常不迟于每年3月31日处理，并应按当期缴费通知复核。财务报表一般在财政年结后六个月内提交；AM通常不必委任审计师，不等于自动免除财务报表、账簿记录或其他可能适用的审计要求。</w:t>
      </w:r>
    </w:p>
    <w:p>
      <w:r>
        <w:t>AM还应把触发事件前置管理。例如，超过适用AUM上限后，应在七日内书面通知FSC，并按规则处理恢复资格、申请其他路径或书面继续经营安排。申请资料发生变化后，通常须在十四日内书面通知FSC并附持续合规声明。请注意，这个十四日要求是AM的规则，不能套用于所有BVI许可、所有控制权交易或普通公司。</w:t>
      </w:r>
    </w:p>
    <w:p>
      <w:r>
        <w:t>这里要特别分清三个概念。第一，</w:t>
      </w:r>
      <w:r>
        <w:rPr>
          <w:b/>
        </w:rPr>
        <w:t>合规独立审查</w:t>
      </w:r>
      <w:r>
        <w:t>，如交易文件、监管期望或风险判断需要，通常是对AML/CFT、制裁、客户尽调、治理、监管报告和实际控制是否符合要求的独立测试或复核；其范围应按项目另行定义。第二，</w:t>
      </w:r>
      <w:r>
        <w:rPr>
          <w:b/>
        </w:rPr>
        <w:t>财务报表审计</w:t>
      </w:r>
      <w:r>
        <w:t>，是对财务报表的独立鉴证，是否需要取决于适用规则、投资人文件、融资、集团政策或个案要求。第三，普通BVI BC的</w:t>
      </w:r>
      <w:r>
        <w:rPr>
          <w:b/>
        </w:rPr>
        <w:t>Annual Return</w:t>
      </w:r>
      <w:r>
        <w:t>，通常在财政年度结束后九个月内交注册代理人，是规定格式的年度财务申报，并非公开年报。三者目的、对象、方法和交付物不同；不能用普通公司的Annual Return替代合规独立审查或财务报表审计，也不能把合规审查说成已经完成了审计。</w:t>
      </w:r>
    </w:p>
    <w:p>
      <w:r>
        <w:t>普通BC的年度政府费通常按成立或迁入所在半年，于每年5月31日或11月30日到期，具体仍应以实体类别和注册代理通知为准。收购交割后，还应立即接入股东、董事、成员名册、BO资料、适用监管事项、银行和客户沟通、签字权限、人员、系统和数据的更新清单。若缺少责任人、原始文件、提交回执或变更依据，应作为交割后优先整改事项，而不是等到下一年度再处理。</w:t>
      </w:r>
    </w:p>
    <w:p>
      <w:r/>
      <w:r>
        <w:rPr>
          <w:b/>
        </w:rPr>
        <w:t>屏幕指引：</w:t>
      </w:r>
      <w:r>
        <w:t xml:space="preserve"> 先从表格上至下讲AM事项，再讲普通BC事项；说到“三个概念”时减速，分别指向AM财务报表、普通BC Annual Return及页面空白区域作口头区分。</w:t>
      </w:r>
    </w:p>
    <w:p>
      <w:r/>
      <w:r>
        <w:rPr>
          <w:b/>
        </w:rPr>
        <w:t>客户互动：</w:t>
      </w:r>
      <w:r>
        <w:t xml:space="preserve"> “贵方现有主体是否已有年费、监管回报、财务资料、合规资料和关键变更的负责人、文件位置及提交回执？”</w:t>
      </w:r>
    </w:p>
    <w:p>
      <w:r/>
      <w:r>
        <w:rPr>
          <w:b/>
        </w:rPr>
        <w:t>转场：</w:t>
      </w:r>
      <w:r>
        <w:t xml:space="preserve"> “义务和资料明确后，下一页说明仁港永胜如何协助开展初评与人工项目沟通。”</w:t>
      </w:r>
    </w:p>
    <w:p>
      <w:pPr>
        <w:spacing w:after="20" w:before="20"/>
      </w:pPr>
    </w:p>
    <w:p>
      <w:pPr>
        <w:pStyle w:val="Heading2"/>
        <w:pageBreakBefore/>
      </w:pPr>
      <w:r>
        <w:t>第11页｜仁港永胜服务与线上初步评估</w:t>
      </w:r>
    </w:p>
    <w:p>
      <w:r/>
      <w:r>
        <w:rPr>
          <w:b/>
        </w:rPr>
        <w:t>本页目的：</w:t>
      </w:r>
      <w:r>
        <w:t xml:space="preserve"> 说明可协助的项目组织范围、线上初评的定位和数据边界，不把初评或网站功能表述为监管结论或CRM项目档案。</w:t>
      </w:r>
    </w:p>
    <w:p>
      <w:pPr>
        <w:pStyle w:val="Heading3"/>
      </w:pPr>
      <w:r>
        <w:t>完整唐生讲稿</w:t>
      </w:r>
    </w:p>
    <w:p>
      <w:r>
        <w:t>仁港永胜在项目中的角色，是协助客户把实际业务、资料和工作步骤组织清楚。对于新申请，我们可以协助梳理客户、活动、地域、资金及资产控制，协调主体、治理、材料版本和监管问询准备。对于收购，我们可以协助建立许可、历史责任、合同、交割条件和接续事项的尽调框架。对于公司注册与维护，我们可以协助衔接注册代理、公司资料、年度维护和变更日历。实际需要的持牌服务、法律、税务、会计、审计、授权代表或其他专业意见，应按项目另行安排。</w:t>
      </w:r>
    </w:p>
    <w:p>
      <w:r>
        <w:t>右侧的线上初步评估入口是fsc-bvi.com/assessment。它用于根据客户回答提示可能路径、资料缺口和讨论清单，不是监管评分、获批概率、固定报价或个案法律结论。填写时应以真实情况为准，尤其是业务活动、客户类别、地域、控制链、关键人员及资金或资产安排。</w:t>
      </w:r>
    </w:p>
    <w:p>
      <w:r>
        <w:t>当前评估结果保留在浏览器本地，尚未完成CRM同步。因此，初评完成不等于我们已经建立了可供项目团队使用的正式档案，也不应假定任何材料已自动提交给监管机构、银行或服务商。进入人工沟通时，请以双方确认版本的一页业务摘要、控制链图、人员安排和资源说明为基础重新核对。这样后续项目方案才会建立在可验证事实而非表单推断上。</w:t>
      </w:r>
    </w:p>
    <w:p>
      <w:r/>
      <w:r>
        <w:rPr>
          <w:b/>
        </w:rPr>
        <w:t>屏幕指引：</w:t>
      </w:r>
      <w:r>
        <w:t xml:space="preserve"> 先讲左侧服务范围，再指向右侧评估入口；读到“浏览器本地、尚未完成CRM同步”时放慢语速。</w:t>
      </w:r>
    </w:p>
    <w:p>
      <w:r/>
      <w:r>
        <w:rPr>
          <w:b/>
        </w:rPr>
        <w:t>客户互动：</w:t>
      </w:r>
      <w:r>
        <w:t xml:space="preserve"> “贵方是否可以先提供一页业务摘要、控制链图和关键人员分工，作为下一轮人工沟通的起点？”</w:t>
      </w:r>
    </w:p>
    <w:p>
      <w:r/>
      <w:r>
        <w:rPr>
          <w:b/>
        </w:rPr>
        <w:t>转场：</w:t>
      </w:r>
      <w:r>
        <w:t xml:space="preserve"> “最后一页回到官方依据、费用边界和项目启动前的复核原则。”</w:t>
      </w:r>
    </w:p>
    <w:p>
      <w:pPr>
        <w:spacing w:after="20" w:before="20"/>
      </w:pPr>
    </w:p>
    <w:p>
      <w:pPr>
        <w:pStyle w:val="Heading2"/>
        <w:pageBreakBefore/>
      </w:pPr>
      <w:r>
        <w:t>第12页｜官方依据、服务边界与联系信息</w:t>
      </w:r>
    </w:p>
    <w:p>
      <w:r/>
      <w:r>
        <w:rPr>
          <w:b/>
        </w:rPr>
        <w:t>本页目的：</w:t>
      </w:r>
      <w:r>
        <w:t xml:space="preserve"> 以事实核验、费用拆分和非保证性边界收束路演，并提出清晰的下一步。</w:t>
      </w:r>
    </w:p>
    <w:p>
      <w:pPr>
        <w:pStyle w:val="Heading3"/>
      </w:pPr>
      <w:r>
        <w:t>完整唐生讲稿</w:t>
      </w:r>
    </w:p>
    <w:p>
      <w:r>
        <w:t>最后，我用三个要点结束今天的介绍。第一，BVI项目的起点不是挑选一个好听的牌照名称，而是把业务、客户、地域、控制权、资金或资产安排和人员资源，如实映射到可能适用的制度。第二，新申请、持牌主体收购和普通公司注册是不同工作流：新申请重在建立可审查的新基础；收购重在许可匹配、历史尽调、适用监管程序和交割后接续；公司注册解决的是法律主体和公司维护，不自动取得金融服务资格。</w:t>
      </w:r>
    </w:p>
    <w:p>
      <w:r>
        <w:t>第三，所有费用、资源和交易对价必须分项确认。政府费用、注册代理和专业服务费、人员和系统资源、监管资本或资源要求、股权购买价及历史责任缓冲，不应合并成一个含糊的“牌照成本”。我们不会把条件性政府费用示例说成全包报价，也不会把申请递交、有限待决机制、收购意向或公司注册说成批准、开户、税务结果、固定周期或全球市场准入的保证。</w:t>
      </w:r>
    </w:p>
    <w:p>
      <w:r>
        <w:t>如贵方希望继续，建议的下一步不是仓促选择申请或收购，而是先完成初步评估并准备业务摘要、控制链、关键人员、资源安排，或目标公司的许可与基础资料。随后双方可以讨论一份范围明确的书面项目方案，列清待核验事项、所需专业角色、资料责任人、阶段关口和退出条件。感谢各位聆听，接下来我愿意就贵方的实际业务、现有主体或目标公司资料逐项交流。</w:t>
      </w:r>
    </w:p>
    <w:p>
      <w:r/>
      <w:r>
        <w:rPr>
          <w:b/>
        </w:rPr>
        <w:t>屏幕指引：</w:t>
      </w:r>
      <w:r>
        <w:t xml:space="preserve"> 先指向页面上方核验信息，再按官方依据、服务边界和联系信息收束；最后停在联系入口。</w:t>
      </w:r>
    </w:p>
    <w:p>
      <w:r/>
      <w:r>
        <w:rPr>
          <w:b/>
        </w:rPr>
        <w:t>客户互动：</w:t>
      </w:r>
      <w:r>
        <w:t xml:space="preserve"> “在今天三条路径中，贵方希望我们下一步先围绕哪一条作资料核验和范围讨论？”</w:t>
      </w:r>
    </w:p>
    <w:p>
      <w:r/>
      <w:r>
        <w:rPr>
          <w:b/>
        </w:rPr>
        <w:t>转场：</w:t>
      </w:r>
      <w:r>
        <w:t xml:space="preserve"> “主讲到此结束。以下可根据现场问题进入可选问答。”</w:t>
      </w:r>
    </w:p>
    <w:p>
      <w:pPr>
        <w:spacing w:after="20" w:before="20"/>
      </w:pPr>
    </w:p>
    <w:p>
      <w:pPr>
        <w:pStyle w:val="Heading1"/>
        <w:pageBreakBefore/>
      </w:pPr>
      <w:r>
        <w:t>客户需准备资料清单</w:t>
      </w:r>
    </w:p>
    <w:p>
      <w:r>
        <w:t>&gt; 以下是初步沟通、路径判断及范围报价前的常见资料，不代表任何项目或许可的最终申请清单。认证、翻译、签署、有效期、递交路径和文件格式均应由适用服务方及当日规则确认。</w:t>
      </w:r>
    </w:p>
    <w:p>
      <w:pPr>
        <w:pStyle w:val="Heading2"/>
      </w:pPr>
      <w:r>
        <w:t>A. 三条路径均建议先备</w:t>
      </w:r>
    </w:p>
    <w:p>
      <w:pPr>
        <w:pStyle w:val="ListNumber"/>
      </w:pPr>
      <w:r/>
      <w:r>
        <w:rPr>
          <w:b/>
        </w:rPr>
        <w:t>一页业务摘要：</w:t>
      </w:r>
      <w:r>
        <w:t xml:space="preserve"> 实际产品或服务、收费方式、目标客户、客户所在地、主要经营地、获客方式，以及是否接触或控制客户资金、资产或虚拟资产。</w:t>
      </w:r>
    </w:p>
    <w:p>
      <w:pPr>
        <w:pStyle w:val="ListNumber"/>
      </w:pPr>
      <w:r/>
      <w:r>
        <w:rPr>
          <w:b/>
        </w:rPr>
        <w:t>主体与控制链：</w:t>
      </w:r>
      <w:r>
        <w:t xml:space="preserve"> 现有或拟设主体清单、从直接持有人到最终自然人控制人的结构图、各层持股或控制比例。</w:t>
      </w:r>
    </w:p>
    <w:p>
      <w:pPr>
        <w:pStyle w:val="ListNumber"/>
      </w:pPr>
      <w:r/>
      <w:r>
        <w:rPr>
          <w:b/>
        </w:rPr>
        <w:t>关键人员安排：</w:t>
      </w:r>
      <w:r>
        <w:t xml:space="preserve"> 董事、股东／普通合伙人、高级人员、日常职能负责人、合规及AML/CFT相关人员或外包方的角色说明与履历概览。</w:t>
      </w:r>
    </w:p>
    <w:p>
      <w:pPr>
        <w:pStyle w:val="ListNumber"/>
      </w:pPr>
      <w:r/>
      <w:r>
        <w:rPr>
          <w:b/>
        </w:rPr>
        <w:t>资金与资源说明：</w:t>
      </w:r>
      <w:r>
        <w:t xml:space="preserve"> 启动预算、营运资金来源、费用承担方、人员、系统和外包资源；不得以股权对价、公司政府费或基金资产替代资源说明。</w:t>
      </w:r>
    </w:p>
    <w:p>
      <w:pPr>
        <w:pStyle w:val="ListNumber"/>
      </w:pPr>
      <w:r/>
      <w:r>
        <w:rPr>
          <w:b/>
        </w:rPr>
        <w:t>客户与地域资料：</w:t>
      </w:r>
      <w:r>
        <w:t xml:space="preserve"> 客户类型、所在司法管辖区、合同关系、资金或资产流向、第三方服务商及任何受限地区、制裁或PEP相关因素。</w:t>
      </w:r>
    </w:p>
    <w:p>
      <w:pPr>
        <w:pStyle w:val="Heading2"/>
      </w:pPr>
      <w:r>
        <w:t>B. 如初步考虑AM新申请</w:t>
      </w:r>
    </w:p>
    <w:p>
      <w:pPr>
        <w:pStyle w:val="ListNumber"/>
      </w:pPr>
      <w:r>
        <w:t>BVI Business Company或BVI登记有限合伙的现有资料，或拟采用的主体形式和组织文件草案。</w:t>
      </w:r>
    </w:p>
    <w:p>
      <w:pPr>
        <w:pStyle w:val="ListNumber"/>
      </w:pPr>
      <w:r>
        <w:t>公司型主体的两名董事（至少一名自然人）安排，或有限合伙型主体的普通合伙人安排。</w:t>
      </w:r>
    </w:p>
    <w:p>
      <w:pPr>
        <w:pStyle w:val="ListNumber"/>
      </w:pPr>
      <w:r>
        <w:t>FSC认证授权代表的可用接受安排；不得以注册代理或一般联系人当然替代。</w:t>
      </w:r>
    </w:p>
    <w:p>
      <w:pPr>
        <w:pStyle w:val="ListNumber"/>
      </w:pPr>
      <w:r>
        <w:t>每个拟服务基金或结构的法律形式、注册地、发售和投资者限制、管理／顾问协议及AUM资料。</w:t>
      </w:r>
    </w:p>
    <w:p>
      <w:pPr>
        <w:pStyle w:val="ListNumber"/>
      </w:pPr>
      <w:r>
        <w:t>日常投资职能人员、外包职责矩阵、受托方资料、外包协议和监督安排。</w:t>
      </w:r>
    </w:p>
    <w:p>
      <w:pPr>
        <w:pStyle w:val="ListNumber"/>
      </w:pPr>
      <w:r>
        <w:t>业务计划、治理与风险控制、财务资源、AML/CFT、数据与技术、记录保存等基础资料。</w:t>
      </w:r>
    </w:p>
    <w:p>
      <w:pPr>
        <w:pStyle w:val="Heading2"/>
      </w:pPr>
      <w:r>
        <w:t>C. 如初步考虑持牌主体收购</w:t>
      </w:r>
    </w:p>
    <w:p>
      <w:pPr>
        <w:pStyle w:val="ListNumber"/>
      </w:pPr>
      <w:r>
        <w:t>目标公司许可原件、许可范围、附加条件、当前监管状态、年费与申报状态的可核验材料。</w:t>
      </w:r>
    </w:p>
    <w:p>
      <w:pPr>
        <w:pStyle w:val="ListNumber"/>
      </w:pPr>
      <w:r>
        <w:t>组织文件、股权和最终控制链、董事及高级人员资料、法定登记册及注册代理资料。</w:t>
      </w:r>
    </w:p>
    <w:p>
      <w:pPr>
        <w:pStyle w:val="ListNumber"/>
      </w:pPr>
      <w:r>
        <w:t>监管沟通、检查、整改、投诉、AML/CFT、制裁、财税、诉讼、客户资产和未披露负债等历史材料。</w:t>
      </w:r>
    </w:p>
    <w:p>
      <w:pPr>
        <w:pStyle w:val="ListNumber"/>
      </w:pPr>
      <w:r>
        <w:t>客户、银行、支付、外包、雇员、关键供应商、系统、域名、知识产权及数据合同，尤其是变更控制、重新KYC、转让和终止条款。</w:t>
      </w:r>
    </w:p>
    <w:p>
      <w:pPr>
        <w:pStyle w:val="ListNumber"/>
      </w:pPr>
      <w:r>
        <w:t>买方、新控制人和拟任人员的KYC、资金来源、适格性、业务计划及交割后资源安排。</w:t>
      </w:r>
    </w:p>
    <w:p>
      <w:pPr>
        <w:pStyle w:val="ListNumber"/>
      </w:pPr>
      <w:r>
        <w:t>保密安排、资料室规则，以及交易文件中拟处理的先决条件、退出、托管、赔偿、披露和资料交接框架。</w:t>
      </w:r>
    </w:p>
    <w:p>
      <w:pPr>
        <w:pStyle w:val="Heading2"/>
      </w:pPr>
      <w:r>
        <w:t>D. 如仅为普通BVI公司注册或维护</w:t>
      </w:r>
    </w:p>
    <w:p>
      <w:pPr>
        <w:pStyle w:val="ListNumber"/>
      </w:pPr>
      <w:r>
        <w:t>两至三个拟用英文名称、公司用途、预计活动及不拟开展受监管业务的说明（如适用）。</w:t>
      </w:r>
    </w:p>
    <w:p>
      <w:pPr>
        <w:pStyle w:val="ListNumber"/>
      </w:pPr>
      <w:r>
        <w:t>公司形式、获授权发行股份数、股份类别、股东和董事安排、签署权限及章程要求。</w:t>
      </w:r>
    </w:p>
    <w:p>
      <w:pPr>
        <w:pStyle w:val="ListNumber"/>
      </w:pPr>
      <w:r>
        <w:t>自然人或法人股东、董事及最终受益所有人的身份、住址、公司文件、结构图、职业／业务背景、财富及资金来源资料。</w:t>
      </w:r>
    </w:p>
    <w:p>
      <w:pPr>
        <w:pStyle w:val="ListNumber"/>
      </w:pPr>
      <w:r>
        <w:t>税务居民地、预计交易对手、资金路径、主要业务地区及是否涉及经济实质相关活动的说明。</w:t>
      </w:r>
    </w:p>
    <w:p>
      <w:pPr>
        <w:pStyle w:val="ListNumber"/>
      </w:pPr>
      <w:r>
        <w:t>已有公司如涉及股权、董事或受益所有人变更，还应提供成员名册、董事名册、相关决议、转让文件、年费、Annual Return及其他适用申报状态。</w:t>
      </w:r>
    </w:p>
    <w:p>
      <w:pPr>
        <w:spacing w:after="20" w:before="20"/>
      </w:pPr>
    </w:p>
    <w:p>
      <w:pPr>
        <w:pStyle w:val="Heading1"/>
        <w:pageBreakBefore/>
      </w:pPr>
      <w:r>
        <w:t>可选客户问答｜约6—8分钟</w:t>
      </w:r>
    </w:p>
    <w:p>
      <w:r>
        <w:t xml:space="preserve">&gt; </w:t>
      </w:r>
      <w:r>
        <w:rPr>
          <w:b/>
        </w:rPr>
        <w:t>主持建议：</w:t>
      </w:r>
      <w:r>
        <w:t xml:space="preserve"> 以下六题可按客户情况全选或择题。下列答案均为唐生可直接朗读的回应口径；累计朗读内容按每分钟180—240字作初步估算约6—8分钟。客户持续追问、现场停顿及项目事实核验另计。</w:t>
      </w:r>
    </w:p>
    <w:p>
      <w:r>
        <w:t xml:space="preserve">&gt; </w:t>
      </w:r>
      <w:r>
        <w:rPr>
          <w:b/>
        </w:rPr>
        <w:t>统一提示：</w:t>
      </w:r>
      <w:r>
        <w:t xml:space="preserve"> 以下回答是初步说明，不代替对具体业务、文件、交易对象和当日规则的专项核验。</w:t>
      </w:r>
    </w:p>
    <w:p>
      <w:pPr>
        <w:pStyle w:val="Heading2"/>
      </w:pPr>
      <w:r>
        <w:t>Q1｜收购一家持牌公司，是不是等于买到一张可立即使用的牌照？</w:t>
      </w:r>
    </w:p>
    <w:p>
      <w:r/>
      <w:r>
        <w:rPr>
          <w:b/>
        </w:rPr>
        <w:t>建议回答：</w:t>
      </w:r>
      <w:r/>
    </w:p>
    <w:p>
      <w:r>
        <w:t>通常不是。交易对象一般是持牌公司的股份或控制权，许可仍在该公司名下。交易前还应确认目标是否仍有真实运营基础，以及新控制团队能否取得所需权限、记录和服务支持。首先要核验许可是否有效、获准范围和附加条件是否覆盖买方计划；若买方的业务、客户、产品、控制人或人员安排改变，可能仍需处理适用的审批、同意、通知或其他条件。其次，要调查该公司历史上的监管沟通、申报、投诉、税务、合同、AML/CFT、人员、系统和数据事项。换股东不会自动消除既有责任。只有当许可匹配、历史资料可验证、监管程序及关键第三方安排可满足时，收购才值得继续评估。</w:t>
      </w:r>
    </w:p>
    <w:p>
      <w:pPr>
        <w:pStyle w:val="Heading2"/>
      </w:pPr>
      <w:r>
        <w:t>Q2｜收购是否一定比新申请更快或更便宜？</w:t>
      </w:r>
    </w:p>
    <w:p>
      <w:r/>
      <w:r>
        <w:rPr>
          <w:b/>
        </w:rPr>
        <w:t>建议回答：</w:t>
      </w:r>
      <w:r/>
    </w:p>
    <w:p>
      <w:r>
        <w:t>不能这样承诺。收购可能保留既有主体、许可或部分运营基础，但同时会增加目标筛选、监管和法律尽调、财税核验、交易文件、控制权程序、托管、整改、迁移和历史责任缓冲等工作。新申请不承接目标公司的未知历史，却仍须建立自身的控制链、人员、制度、资源和运营基础。两条路径都会受到资料质量、控制人适格性、监管审查、第三方同意和实际运营准备的影响。银行、支付服务商、客户和外包商对控制权变更的重新评估，也可能改变实际安排。因此应先比较可验证的基础和风险，而不是把“收购”预设为速度或成本优势。</w:t>
      </w:r>
    </w:p>
    <w:p>
      <w:pPr>
        <w:pStyle w:val="Heading2"/>
      </w:pPr>
      <w:r>
        <w:t>Q3｜AM的US$400m、US$1bn和US$100,000，是否就是最低实缴资本？</w:t>
      </w:r>
    </w:p>
    <w:p>
      <w:r/>
      <w:r>
        <w:rPr>
          <w:b/>
        </w:rPr>
        <w:t>建议回答：</w:t>
      </w:r>
      <w:r/>
    </w:p>
    <w:p>
      <w:r>
        <w:t>不是。US$400m是私募基金或专业基金的合计AUM上限；US$1bn是一个或多个合资格封闭式基金的合计承诺资本上限，两者按不同口径分别计算。US$100,000是具专业基金特征的结构中每名非豁免投资者的初始投资门槛。三者都不是AM管理人的最低实缴资本。现有公开规则中没有一项适用于所有AM申请人的统一最低实缴资本数字，但这绝不等于没有资源要求。申请仍须说明与业务相称的人员、外包、治理、财务报表准备和持续运营安排，并将资源来源与预期业务量、风险和职责分工对应起来。</w:t>
      </w:r>
    </w:p>
    <w:p>
      <w:pPr>
        <w:pStyle w:val="Heading2"/>
      </w:pPr>
      <w:r>
        <w:t>Q4｜AM申请递交后，是否可以直接经营，或保证在30日内获批？</w:t>
      </w:r>
    </w:p>
    <w:p>
      <w:r/>
      <w:r>
        <w:rPr>
          <w:b/>
        </w:rPr>
        <w:t>建议回答：</w:t>
      </w:r>
      <w:r/>
    </w:p>
    <w:p>
      <w:r>
        <w:t>不能这样理解。完整申请及支持文件通常须在计划开展相关业务日前至少七日递交。适用规则下的有限待决经营机制有明确条件和范围，它不是最终批准，也不等于可以无条件持续营业。FSC对个案的处理还会受到材料完整性、问询、控制人和业务事实等因素影响。正确的项目安排是先确认申请是否完整、业务是否在适用范围内、是否满足待决机制条件，以及在书面批准、注册或认可及开业条件满足前，哪些活动不能开始。我们不会把这一机制写成固定审批周期或监管保证。</w:t>
      </w:r>
    </w:p>
    <w:p>
      <w:pPr>
        <w:pStyle w:val="Heading2"/>
      </w:pPr>
      <w:r>
        <w:t>Q5｜合规独立审查、财务报表审计和普通公司的Annual Return是否是同一件事？</w:t>
      </w:r>
    </w:p>
    <w:p>
      <w:r/>
      <w:r>
        <w:rPr>
          <w:b/>
        </w:rPr>
        <w:t>建议回答：</w:t>
      </w:r>
      <w:r/>
    </w:p>
    <w:p>
      <w:r>
        <w:t>不是，三者必须分开。合规独立审查通常聚焦AML/CFT、制裁、KYC、治理、监管报告、制度执行和实际控制是否符合预定范围；是否需要、由谁开展、审查标准是什么，应按交易、风险和适用要求定义。财务报表审计则是对财务报表的独立鉴证，可能来自适用规则、投资人、融资、集团政策或个案要求。普通BVI BC的Annual Return通常交给注册代理人，是规定格式的年度财务申报，不是公开年报，也不能取代前两项工作。AM通常不必委任审计师，也不代表自动免除财务报表或所有审计需求。</w:t>
      </w:r>
    </w:p>
    <w:p>
      <w:pPr>
        <w:pStyle w:val="Heading2"/>
      </w:pPr>
      <w:r>
        <w:t>Q6｜BVI公司注册后的US$550或US$1,350，是否已经包含全部成本和牌照资源？</w:t>
      </w:r>
    </w:p>
    <w:p>
      <w:r/>
      <w:r>
        <w:rPr>
          <w:b/>
        </w:rPr>
        <w:t>建议回答：</w:t>
      </w:r>
      <w:r/>
    </w:p>
    <w:p>
      <w:r>
        <w:t>不是。这两个金额是对适用普通股份有限公司、按获授权发行股份数量划分的公司政府设立费或年度政府费示例。它们不包括注册代理、注册地址、KYC、文件认证、授权代表、董事、法律、会计、AML/CFT、系统、银行或其他专业服务，也不是任何金融牌照的资本要求。收购项目还要把股权对价与监管资本、营运资金、政府费用和第三方服务费分开。尤其不能把收购价当作目标公司仍可使用的现金、净资产或未来经营资源；这些均应由尽调和交易文件独立验证，并以交割前后可追溯的资料、账户限制和资金安排作支持。</w:t>
      </w:r>
    </w:p>
    <w:p>
      <w:pPr>
        <w:spacing w:after="20" w:before="20"/>
      </w:pPr>
    </w:p>
    <w:p>
      <w:pPr>
        <w:pStyle w:val="Heading1"/>
        <w:pageBreakBefore/>
      </w:pPr>
      <w:r>
        <w:t>虚构情景｜仅用于说明判断方法</w:t>
      </w:r>
    </w:p>
    <w:p>
      <w:r>
        <w:t xml:space="preserve">&gt; </w:t>
      </w:r>
      <w:r>
        <w:rPr>
          <w:b/>
        </w:rPr>
        <w:t>重要说明：</w:t>
      </w:r>
      <w:r>
        <w:t xml:space="preserve"> 以下均为虚构讨论情景，不代表已成交、已获批或成功案例；不含价格、成功率、处理期限、银行承接、税务结果或监管结果的承诺。</w:t>
      </w:r>
    </w:p>
    <w:p>
      <w:pPr>
        <w:pStyle w:val="Heading2"/>
      </w:pPr>
      <w:r>
        <w:t>情景一｜AM新申请：两只拟服务基金的管理安排</w:t>
      </w:r>
    </w:p>
    <w:p>
      <w:r>
        <w:t>假设一支投资顾问团队拟成立BVI主体，为两只拟服务基金提供投资管理或投资顾问服务：一只拟按私募／专业基金特征设计，另一只为封闭式结构。我们不会仅因团队自称“基金经理”就认定AM适用，而会分别核对基金的法律形式、注册地、投资者限制、发售方式、管理或顾问协议和AUM计算口径。随后才核对主体类型、董事或普通合伙人、FSC认证授权代表、日常投资职能人员和外包安排。</w:t>
      </w:r>
    </w:p>
    <w:p>
      <w:r>
        <w:t>这个情景中，私募／专业基金US$400m的合计AUM上限与封闭式基金US$1bn的合计承诺资本上限应分别记录；非豁免投资者US$100,000的初始投资门槛也不能被当作管理人资本。重点是先验证基金和管理关系是否合资格，再讨论申请资料和项目预算。</w:t>
      </w:r>
    </w:p>
    <w:p>
      <w:pPr>
        <w:pStyle w:val="Heading2"/>
      </w:pPr>
      <w:r>
        <w:t>情景二｜持牌公司收购：先许可匹配，再条件交割</w:t>
      </w:r>
    </w:p>
    <w:p>
      <w:r>
        <w:t>假设买方发现一家声称持有投资业务相关许可的公司，并希望借此进入拟定业务。第一步是取得并核验许可原件、获准范围、附加条件、当前状态和年费申报记录，判断其能否覆盖买方计划。随后对监管沟通、历史财税、客户合同、AML/CFT、投诉和诉讼、人员、银行和支付安排、系统、知识产权、数据及网络安全进行尽调。</w:t>
      </w:r>
    </w:p>
    <w:p>
      <w:r>
        <w:t>交易文件应把资料真实性、适用监管程序、关键第三方同意、重大不利发现、整改责任、价款调整和退出机制写成可执行的条件。这个情景不预设收购更快，而是说明只有在许可匹配、历史责任和接续条件可以核验时，才应进入交割准备。</w:t>
      </w:r>
    </w:p>
    <w:p>
      <w:pPr>
        <w:pStyle w:val="Heading2"/>
      </w:pPr>
      <w:r>
        <w:t>情景三｜普通BVI公司注册：项目持股SPV而非金融许可证</w:t>
      </w:r>
    </w:p>
    <w:p>
      <w:r>
        <w:t>假设一个投资人小组希望成立一家BVI商业公司，专门持有某境外项目股权，并不拟向外部客户提供受监管金融服务。讨论会从商业目的、股权和控制链、董事与签署权限、股份类别、资金来源和预计交易地区开始。若属于适用的普通股份有限公司且获授权发行不超过50,000股，设立费和年度政府费可各以US$550作为条件性示例；两项均不包含注册代理、KYC、文件认证或专业服务，也不是实缴资本。</w:t>
      </w:r>
    </w:p>
    <w:p>
      <w:r>
        <w:t>成立后，公司仍须维持注册代理和注册办事处，更新董事、成员和受益所有人资料，并管理年费、Annual Return和可能触发的经济实质分析。该情景只说明普通BC可作为持股或项目结构，不能推导为获得投资、支付、银行或其他受监管业务资格。</w:t>
      </w:r>
    </w:p>
    <w:p>
      <w:pPr>
        <w:spacing w:after="20" w:before="20"/>
      </w:pPr>
    </w:p>
    <w:p>
      <w:pPr>
        <w:pStyle w:val="Heading1"/>
        <w:pageBreakBefore/>
      </w:pPr>
      <w:r>
        <w:t>主讲字数与试读说明</w:t>
      </w:r>
    </w:p>
    <w:p>
      <w:pPr>
        <w:pStyle w:val="ListBullet"/>
      </w:pPr>
      <w:r/>
      <w:r>
        <w:rPr>
          <w:b/>
        </w:rPr>
        <w:t>统计范围：</w:t>
      </w:r>
      <w:r>
        <w:t xml:space="preserve"> 仅统计第01至12页各段“完整唐生讲稿”正文；不含标题、屏幕指引、转场、客户互动、资料清单、可选客户问答、虚构情景、来源附录及方括号提示。</w:t>
      </w:r>
    </w:p>
    <w:p>
      <w:pPr>
        <w:pStyle w:val="ListBullet"/>
      </w:pPr>
      <w:r/>
      <w:r>
        <w:rPr>
          <w:b/>
        </w:rPr>
        <w:t>统计方法：</w:t>
      </w:r>
      <w:r>
        <w:t xml:space="preserve"> 以中文汉字计数；中英文缩写、金额和数字会因实际读法增加少量口播时间，故不能把字数换算为精确分钟数。</w:t>
      </w:r>
    </w:p>
    <w:p>
      <w:pPr>
        <w:pStyle w:val="ListBullet"/>
      </w:pPr>
      <w:r/>
      <w:r>
        <w:rPr>
          <w:b/>
        </w:rPr>
        <w:t>统计结果：</w:t>
      </w:r>
      <w:r>
        <w:t xml:space="preserve"> 第01至12页“完整唐生讲稿”共 </w:t>
      </w:r>
      <w:r>
        <w:rPr>
          <w:b/>
        </w:rPr>
        <w:t>5,699个汉字</w:t>
      </w:r>
      <w:r>
        <w:t>；另含约125个英文缩写、金额或数字口播项目。</w:t>
      </w:r>
    </w:p>
    <w:p>
      <w:pPr>
        <w:pStyle w:val="ListBullet"/>
      </w:pPr>
      <w:r/>
      <w:r>
        <w:rPr>
          <w:b/>
        </w:rPr>
        <w:t>估时方法：</w:t>
      </w:r>
      <w:r>
        <w:t xml:space="preserve"> 仅以5,699个汉字按每分钟约180—240字折算，约为</w:t>
      </w:r>
      <w:r>
        <w:rPr>
          <w:b/>
        </w:rPr>
        <w:t>23.7—31.7分钟</w:t>
      </w:r>
      <w:r>
        <w:t>；会议排期可先按约</w:t>
      </w:r>
      <w:r>
        <w:rPr>
          <w:b/>
        </w:rPr>
        <w:t>24—32分钟</w:t>
      </w:r>
      <w:r>
        <w:t>主讲预留。英文简称、金额和数字的读法，以及页面切换、停顿和客户反应均会使实际时长变化，不能视为精确时长。请唐生使用目标设备和页面切换节奏完整试读后，再确定正式会议时长和删减段落。</w:t>
      </w:r>
    </w:p>
    <w:p>
      <w:r/>
      <w:r>
        <w:rPr>
          <w:b/>
        </w:rPr>
        <w:t>如需缩短主讲时间，可优先删减：</w:t>
      </w:r>
      <w:r>
        <w:t xml:space="preserve"> 第03页右侧类别的逐项解释、第06页条件性年度政府基数的展开、第08页成本段落的重复说明，或第10页对普通BC年费日期的复述；但不建议删减第08至10页的停止点、收购尽调边界和三类报告／审查的区别。</w:t>
      </w:r>
    </w:p>
    <w:p>
      <w:pPr>
        <w:spacing w:after="20" w:before="20"/>
      </w:pPr>
    </w:p>
    <w:p>
      <w:pPr>
        <w:pStyle w:val="Heading1"/>
        <w:pageBreakBefore/>
      </w:pPr>
      <w:r>
        <w:t>来源附录</w:t>
      </w:r>
    </w:p>
    <w:p>
      <w:r>
        <w:t>&gt; 本附录仅列出客户可访问的项目官网入口和公开官方来源；不在客户稿中列示内部文件路径。实际使用时，请以当日公开版本、适用法例及相关服务方的书面确认复核。</w:t>
      </w:r>
    </w:p>
    <w:p>
      <w:pPr>
        <w:pStyle w:val="Heading2"/>
      </w:pPr>
      <w:r>
        <w:t>项目官网入口</w:t>
      </w:r>
    </w:p>
    <w:p>
      <w:pPr>
        <w:pStyle w:val="ListBullet"/>
      </w:pPr>
      <w:r>
        <w:t>初步评估：&lt;https://fsc-bvi.com/assessment&gt;</w:t>
      </w:r>
    </w:p>
    <w:p>
      <w:pPr>
        <w:pStyle w:val="ListBullet"/>
      </w:pPr>
      <w:r>
        <w:t>商务路演：&lt;https://fsc-bvi.com/roadshow&gt;</w:t>
      </w:r>
    </w:p>
    <w:p>
      <w:pPr>
        <w:pStyle w:val="ListBullet"/>
      </w:pPr>
      <w:r>
        <w:t>持牌主体收购专题：&lt;https://fsc-bvi.com/acquisition&gt;</w:t>
      </w:r>
    </w:p>
    <w:p>
      <w:pPr>
        <w:pStyle w:val="ListBullet"/>
      </w:pPr>
      <w:r>
        <w:t>Approved Manager专题：&lt;https://fsc-bvi.com/licences/approved-manager&gt;</w:t>
      </w:r>
    </w:p>
    <w:p>
      <w:pPr>
        <w:pStyle w:val="ListBullet"/>
      </w:pPr>
      <w:r>
        <w:t>BVI公司注册专题：&lt;https://fsc-bvi.com/company-registration&gt;</w:t>
      </w:r>
    </w:p>
    <w:p>
      <w:pPr>
        <w:pStyle w:val="ListBullet"/>
      </w:pPr>
      <w:r>
        <w:t>联系方式：&lt;https://fsc-bvi.com/contact&gt;</w:t>
      </w:r>
    </w:p>
    <w:p>
      <w:pPr>
        <w:pStyle w:val="Heading2"/>
      </w:pPr>
      <w:r>
        <w:t>BVI公开官方来源</w:t>
      </w:r>
    </w:p>
    <w:p>
      <w:pPr>
        <w:pStyle w:val="ListBullet"/>
      </w:pPr>
      <w:r>
        <w:t>BVI Financial Services Commission｜Securities and Investment Business Act, 2010：&lt;https://www.bvifsc.vg/sites/default/files/securities_and_investment_business_act_2010.pdf&gt;</w:t>
      </w:r>
    </w:p>
    <w:p>
      <w:pPr>
        <w:pStyle w:val="ListBullet"/>
      </w:pPr>
      <w:r>
        <w:t>BVI Financial Services Commission｜Investment Business (Approved Managers) Regulations, Revised Edition 2020：&lt;https://www.bvifsc.vg/library/legislation/investment-business-approved-managers-regulations-revised-2020&gt;</w:t>
      </w:r>
    </w:p>
    <w:p>
      <w:pPr>
        <w:pStyle w:val="ListBullet"/>
      </w:pPr>
      <w:r>
        <w:t>BVI Financial Services Commission｜Investment Business (Approved Managers) Regulations PDF：&lt;https://www.bvifsc.vg/sites/default/files/documents/Legislation/Insurance/investment_business_approved_managers_regulations_2012.pdf&gt;</w:t>
      </w:r>
    </w:p>
    <w:p>
      <w:pPr>
        <w:pStyle w:val="ListBullet"/>
      </w:pPr>
      <w:r>
        <w:t>BVI Financial Services Commission｜Approved Investment Managers Guidelines：&lt;https://www.bvifsc.vg/sites/default/files/documents/Policies%20and%20Guidelines/approved_investment_managers_guidelines_final.pdf&gt;</w:t>
      </w:r>
    </w:p>
    <w:p>
      <w:pPr>
        <w:pStyle w:val="ListBullet"/>
      </w:pPr>
      <w:r>
        <w:t>BVI Financial Services Commission｜IB-A1 Approved Investment Manager Application Form：&lt;https://www.bvifsc.vg/sites/default/files/4_ib-a1_approved_investment_manager_application_form_final_0.pdf&gt;</w:t>
      </w:r>
    </w:p>
    <w:p>
      <w:pPr>
        <w:pStyle w:val="ListBullet"/>
      </w:pPr>
      <w:r>
        <w:t>BVI Financial Services Commission｜Regulatory Code：&lt;https://www.bvifsc.vg/sites/default/files/regulatory_code.pdf&gt;</w:t>
      </w:r>
    </w:p>
    <w:p>
      <w:pPr>
        <w:pStyle w:val="ListBullet"/>
      </w:pPr>
      <w:r>
        <w:t>BVI Financial Services Commission｜Financial Services (Fees) (Amendment) Regulations, 2023：&lt;https://www.bvifsc.vg/sites/default/files/financial_services_fees_amendment_regulations_2023.pdf&gt;</w:t>
      </w:r>
    </w:p>
    <w:p>
      <w:pPr>
        <w:pStyle w:val="ListBullet"/>
      </w:pPr>
      <w:r>
        <w:t>BVI Financial Services Commission｜BVI Business Companies Act：&lt;https://www.bvifsc.vg/sites/default/files/bvi_business_companies_act.pdf&gt;</w:t>
      </w:r>
    </w:p>
    <w:p>
      <w:pPr>
        <w:pStyle w:val="ListBullet"/>
      </w:pPr>
      <w:r>
        <w:t>BVI Laws｜BVI Business Companies Act：&lt;https://laws.gov.vg/laws/bvi-business-companies-act&gt;</w:t>
      </w:r>
    </w:p>
    <w:p>
      <w:pPr>
        <w:pStyle w:val="ListBullet"/>
      </w:pPr>
      <w:r>
        <w:t>BVI Financial Services Commission｜BVI Business Companies (Amendment of Schedule 1) (No. 2) Order, 2022：&lt;https://www.bvifsc.vg/sites/default/files/bvi_business_companies_amendment_of_schedule_1_no_2_order_2022.pdf&gt;</w:t>
      </w:r>
    </w:p>
    <w:p>
      <w:pPr>
        <w:pStyle w:val="ListBullet"/>
      </w:pPr>
      <w:r>
        <w:t>BVI Financial Services Commission｜Revised Beneficial Ownership Guidelines（2026）：&lt;https://www.bvifsc.vg/sites/default/files/revised_bo_guidelines_final_version_for_publication_02.01.26_0.pdf&gt;</w:t>
      </w:r>
    </w:p>
    <w:p>
      <w:pPr>
        <w:pStyle w:val="ListBullet"/>
      </w:pPr>
      <w:r>
        <w:t>BVI Financial Services Commission｜Industry Circular 26 of 2025 — Filing Initial Annual Returns：&lt;https://www.bvifsc.vg/news/industry-updates/industry-circular-26-2025-filing-initial-annual-returns&gt;</w:t>
      </w:r>
    </w:p>
    <w:p>
      <w:pPr>
        <w:pStyle w:val="ListBullet"/>
      </w:pPr>
      <w:r>
        <w:t>BVI Financial Services Commission｜Industry Circular 16 of 2025 — Registry of Corporate Affairs Update：&lt;https://www.bvifsc.vg/news/industry-updates/industry-circular-16-2025-registry-corporate-affairs-update&gt;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134" w:bottom="1077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仁港永胜（香港）有限公司   ·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20040" cy="32004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" cy="32004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123444"/>
        <w:sz w:val="18"/>
      </w:rPr>
      <w:t xml:space="preserve">  仁港永胜｜BVI金融牌照与公司注册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40"/>
    </w:pPr>
    <w:rPr>
      <w:rFonts w:ascii="Noto Sans CJK SC" w:hAnsi="Noto Sans CJK SC" w:eastAsia="Noto Sans CJK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2344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23444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2344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Noto Sans CJK SC" w:hAnsi="Noto Sans CJK SC" w:eastAsia="Noto Sans CJK SC"/>
      <w:color w:val="123444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BVI牌照申请与收购客户演示脚本</dc:title>
  <dc:subject>唐上永（唐生）业务经理专业讲解</dc:subject>
  <dc:creator>仁港永胜（香港）有限公司</dc:creator>
  <cp:keywords/>
  <dc:description>generated by python-docx</dc:description>
  <cp:lastModifiedBy>仁港永胜（香港）有限公司</cp:lastModifiedBy>
  <cp:revision>1</cp:revision>
  <dcterms:created xsi:type="dcterms:W3CDTF">2013-12-23T23:15:00Z</dcterms:created>
  <dcterms:modified xsi:type="dcterms:W3CDTF">2013-12-23T23:15:00Z</dcterms:modified>
  <cp:category/>
</cp:coreProperties>
</file>